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43FFD" w:rsidP="00855BA1" w14:paraId="77BF0EEE" w14:textId="77777777">
      <w:pPr>
        <w:ind w:left="540" w:right="280"/>
      </w:pPr>
    </w:p>
    <w:p w:rsidR="00543FFD" w:rsidP="00855BA1" w14:paraId="77ACC528" w14:textId="77777777">
      <w:pPr>
        <w:ind w:left="540" w:right="280"/>
      </w:pPr>
    </w:p>
    <w:p w:rsidR="00543FFD" w:rsidP="00855BA1" w14:paraId="3A1483BF" w14:textId="77777777">
      <w:pPr>
        <w:ind w:left="540" w:right="280"/>
      </w:pPr>
    </w:p>
    <w:p w:rsidR="00543FFD" w:rsidP="00855BA1" w14:paraId="400F05BC" w14:textId="77777777">
      <w:pPr>
        <w:ind w:left="540" w:right="280"/>
      </w:pPr>
    </w:p>
    <w:p w:rsidR="00543FFD" w:rsidP="00855BA1" w14:paraId="1B5BE4DA" w14:textId="77777777">
      <w:pPr>
        <w:ind w:left="540" w:right="280"/>
      </w:pPr>
    </w:p>
    <w:p w:rsidR="00543FFD" w:rsidP="00855BA1" w14:paraId="2F6733B9" w14:textId="77777777">
      <w:pPr>
        <w:ind w:left="540" w:right="280"/>
      </w:pPr>
    </w:p>
    <w:p w:rsidR="00543FFD" w:rsidP="00855BA1" w14:paraId="25380059" w14:textId="77777777">
      <w:pPr>
        <w:ind w:left="540" w:right="280"/>
      </w:pPr>
    </w:p>
    <w:p w:rsidR="00543FFD" w:rsidP="00855BA1" w14:paraId="70721C63" w14:textId="77777777">
      <w:pPr>
        <w:ind w:left="540" w:right="280"/>
      </w:pPr>
    </w:p>
    <w:p w:rsidR="00543FFD" w:rsidP="00855BA1" w14:paraId="64B7FBCC" w14:textId="77777777">
      <w:pPr>
        <w:ind w:left="540" w:right="280"/>
      </w:pPr>
    </w:p>
    <w:tbl>
      <w:tblPr>
        <w:tblStyle w:val="TableGrid"/>
        <w:tblW w:w="8642" w:type="dxa"/>
        <w:jc w:val="center"/>
        <w:tblBorders>
          <w:top w:val="single" w:sz="12" w:space="0" w:color="151F6D"/>
          <w:left w:val="single" w:sz="12" w:space="0" w:color="151F6D"/>
          <w:bottom w:val="single" w:sz="12" w:space="0" w:color="151F6D"/>
          <w:right w:val="single" w:sz="12" w:space="0" w:color="151F6D"/>
          <w:insideH w:val="none" w:sz="0" w:space="0" w:color="auto"/>
          <w:insideV w:val="none" w:sz="0" w:space="0" w:color="auto"/>
        </w:tblBorders>
        <w:tblLook w:val="04A0"/>
      </w:tblPr>
      <w:tblGrid>
        <w:gridCol w:w="7970"/>
        <w:gridCol w:w="612"/>
      </w:tblGrid>
      <w:tr w14:paraId="211E10FD" w14:textId="77777777" w:rsidTr="00855BA1">
        <w:tblPrEx>
          <w:tblW w:w="8642" w:type="dxa"/>
          <w:jc w:val="center"/>
          <w:tblBorders>
            <w:top w:val="single" w:sz="12" w:space="0" w:color="151F6D"/>
            <w:left w:val="single" w:sz="12" w:space="0" w:color="151F6D"/>
            <w:bottom w:val="single" w:sz="12" w:space="0" w:color="151F6D"/>
            <w:right w:val="single" w:sz="12" w:space="0" w:color="151F6D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1"/>
          <w:jc w:val="center"/>
        </w:trPr>
        <w:tc>
          <w:tcPr>
            <w:tcW w:w="8217" w:type="dxa"/>
            <w:vAlign w:val="center"/>
          </w:tcPr>
          <w:p w:rsidR="00543FFD" w:rsidRPr="000863F6" w:rsidP="006F3F02" w14:paraId="0143A871" w14:textId="7DD1246B">
            <w:pPr>
              <w:jc w:val="center"/>
              <w:rPr>
                <w:b/>
              </w:rPr>
            </w:pPr>
            <w:bookmarkStart w:id="0" w:name="_Hlk37857852"/>
            <w:r>
              <w:rPr>
                <w:rFonts w:cs="Arial"/>
                <w:b/>
                <w:sz w:val="28"/>
                <w:szCs w:val="28"/>
              </w:rPr>
              <w:t>Policy for late EQA Withdrawal</w:t>
            </w:r>
          </w:p>
        </w:tc>
        <w:tc>
          <w:tcPr>
            <w:tcW w:w="425" w:type="dxa"/>
            <w:vAlign w:val="center"/>
          </w:tcPr>
          <w:p w:rsidR="00543FFD" w:rsidP="006F3F02" w14:paraId="1BA196AC" w14:textId="77777777">
            <w:pPr>
              <w:ind w:left="-4477"/>
              <w:jc w:val="center"/>
            </w:pPr>
          </w:p>
        </w:tc>
      </w:tr>
      <w:bookmarkEnd w:id="0"/>
    </w:tbl>
    <w:p w:rsidR="00543FFD" w:rsidP="00855BA1" w14:paraId="197E8A59" w14:textId="77777777">
      <w:pPr>
        <w:ind w:left="540" w:right="280"/>
      </w:pPr>
    </w:p>
    <w:p w:rsidR="00543FFD" w:rsidP="00855BA1" w14:paraId="268E3EA7" w14:textId="77777777">
      <w:pPr>
        <w:ind w:left="540" w:right="280"/>
      </w:pPr>
    </w:p>
    <w:p w:rsidR="00543FFD" w:rsidP="00855BA1" w14:paraId="3A066559" w14:textId="77777777">
      <w:pPr>
        <w:ind w:left="540" w:right="280"/>
      </w:pPr>
    </w:p>
    <w:p w:rsidR="00543FFD" w:rsidP="00855BA1" w14:paraId="226ACCE8" w14:textId="77777777">
      <w:pPr>
        <w:ind w:left="540" w:right="280"/>
      </w:pPr>
    </w:p>
    <w:p w:rsidR="00543FFD" w:rsidP="00855BA1" w14:paraId="764399AC" w14:textId="77777777">
      <w:pPr>
        <w:ind w:left="540" w:right="280"/>
      </w:pPr>
    </w:p>
    <w:p w:rsidR="00543FFD" w:rsidP="00855BA1" w14:paraId="1A6B60EF" w14:textId="77777777">
      <w:pPr>
        <w:ind w:left="540" w:right="280"/>
      </w:pPr>
    </w:p>
    <w:tbl>
      <w:tblPr>
        <w:tblStyle w:val="TableGrid"/>
        <w:tblW w:w="8642" w:type="dxa"/>
        <w:jc w:val="center"/>
        <w:tblBorders>
          <w:top w:val="single" w:sz="12" w:space="0" w:color="151F6D"/>
          <w:left w:val="single" w:sz="12" w:space="0" w:color="151F6D"/>
          <w:bottom w:val="single" w:sz="12" w:space="0" w:color="151F6D"/>
          <w:right w:val="single" w:sz="12" w:space="0" w:color="151F6D"/>
          <w:insideH w:val="none" w:sz="0" w:space="0" w:color="auto"/>
          <w:insideV w:val="none" w:sz="0" w:space="0" w:color="auto"/>
        </w:tblBorders>
        <w:tblLook w:val="04A0"/>
      </w:tblPr>
      <w:tblGrid>
        <w:gridCol w:w="7969"/>
        <w:gridCol w:w="613"/>
      </w:tblGrid>
      <w:tr w14:paraId="7E4C39C2" w14:textId="77777777" w:rsidTr="006F3F02">
        <w:tblPrEx>
          <w:tblW w:w="8642" w:type="dxa"/>
          <w:jc w:val="center"/>
          <w:tblBorders>
            <w:top w:val="single" w:sz="12" w:space="0" w:color="151F6D"/>
            <w:left w:val="single" w:sz="12" w:space="0" w:color="151F6D"/>
            <w:bottom w:val="single" w:sz="12" w:space="0" w:color="151F6D"/>
            <w:right w:val="single" w:sz="12" w:space="0" w:color="151F6D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11"/>
          <w:jc w:val="center"/>
        </w:trPr>
        <w:tc>
          <w:tcPr>
            <w:tcW w:w="8217" w:type="dxa"/>
            <w:vAlign w:val="center"/>
          </w:tcPr>
          <w:p w:rsidR="00543FFD" w:rsidP="006F3F02" w14:paraId="247277A2" w14:textId="616A2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Purpose and Scope</w:t>
            </w:r>
          </w:p>
          <w:p w:rsidR="00543FFD" w:rsidP="006F3F02" w14:paraId="56644E47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543FFD" w:rsidRPr="00D51231" w:rsidP="00882255" w14:paraId="611BDE1F" w14:textId="5C3115BA">
            <w:pPr>
              <w:jc w:val="center"/>
              <w:rPr>
                <w:bCs/>
              </w:rPr>
            </w:pPr>
            <w:r>
              <w:rPr>
                <w:rFonts w:ascii="ArialMT" w:hAnsi="ArialMT" w:cs="ArialMT"/>
                <w:szCs w:val="22"/>
              </w:rPr>
              <w:t>This document details the GenQA policy and process for late withdrawal from an EQA</w:t>
            </w:r>
          </w:p>
        </w:tc>
        <w:tc>
          <w:tcPr>
            <w:tcW w:w="425" w:type="dxa"/>
            <w:vAlign w:val="center"/>
          </w:tcPr>
          <w:p w:rsidR="00543FFD" w:rsidP="006F3F02" w14:paraId="05252D6C" w14:textId="77777777">
            <w:pPr>
              <w:ind w:left="-4477"/>
              <w:jc w:val="center"/>
            </w:pPr>
          </w:p>
        </w:tc>
      </w:tr>
    </w:tbl>
    <w:p w:rsidR="00543FFD" w:rsidP="00855BA1" w14:paraId="4D50CA27" w14:textId="77777777">
      <w:pPr>
        <w:ind w:left="540" w:right="280"/>
      </w:pPr>
    </w:p>
    <w:p w:rsidR="00543FFD" w:rsidP="00855BA1" w14:paraId="2F680B9E" w14:textId="77777777">
      <w:pPr>
        <w:ind w:left="540" w:right="280"/>
      </w:pPr>
    </w:p>
    <w:p w:rsidR="00543FFD" w:rsidP="00855BA1" w14:paraId="459270E2" w14:textId="77777777">
      <w:pPr>
        <w:ind w:left="540" w:right="280"/>
      </w:pPr>
    </w:p>
    <w:p w:rsidR="00543FFD" w:rsidP="00855BA1" w14:paraId="1E0168B1" w14:textId="77777777">
      <w:pPr>
        <w:ind w:left="540" w:right="280"/>
      </w:pPr>
    </w:p>
    <w:p w:rsidR="00543FFD" w:rsidP="00855BA1" w14:paraId="371A18EE" w14:textId="77777777">
      <w:pPr>
        <w:ind w:left="540" w:right="280"/>
      </w:pPr>
    </w:p>
    <w:p w:rsidR="00543FFD" w:rsidP="00855BA1" w14:paraId="7F3B3900" w14:textId="77777777">
      <w:pPr>
        <w:ind w:left="540" w:right="280"/>
      </w:pPr>
    </w:p>
    <w:p w:rsidR="00543FFD" w:rsidP="00855BA1" w14:paraId="1E06AD56" w14:textId="77777777">
      <w:pPr>
        <w:ind w:left="540" w:right="280"/>
      </w:pPr>
    </w:p>
    <w:p w:rsidR="00543FFD" w:rsidP="00855BA1" w14:paraId="01348B4C" w14:textId="77777777">
      <w:pPr>
        <w:ind w:left="540" w:right="280"/>
      </w:pPr>
    </w:p>
    <w:p w:rsidR="00543FFD" w:rsidP="00855BA1" w14:paraId="57D087EC" w14:textId="77777777">
      <w:pPr>
        <w:ind w:left="540" w:right="280"/>
      </w:pPr>
    </w:p>
    <w:p w:rsidR="00543FFD" w:rsidP="00855BA1" w14:paraId="75FB541B" w14:textId="77777777">
      <w:pPr>
        <w:ind w:left="540" w:right="280"/>
      </w:pPr>
    </w:p>
    <w:p w:rsidR="00543FFD" w:rsidP="00855BA1" w14:paraId="45D68047" w14:textId="77777777">
      <w:pPr>
        <w:ind w:left="540" w:right="280"/>
      </w:pPr>
    </w:p>
    <w:p w:rsidR="00543FFD" w:rsidP="00855BA1" w14:paraId="5103EFFF" w14:textId="77777777">
      <w:pPr>
        <w:ind w:left="540" w:right="280"/>
      </w:pPr>
    </w:p>
    <w:p w:rsidR="00543FFD" w:rsidP="00855BA1" w14:paraId="1F1AD910" w14:textId="77777777">
      <w:pPr>
        <w:ind w:left="540" w:right="280"/>
      </w:pPr>
    </w:p>
    <w:p w:rsidR="00543FFD" w:rsidP="00855BA1" w14:paraId="640602F7" w14:textId="77777777">
      <w:pPr>
        <w:ind w:left="540" w:right="280"/>
      </w:pPr>
    </w:p>
    <w:p w:rsidR="00543FFD" w14:paraId="55ACBADC" w14:textId="77777777">
      <w:r>
        <w:br w:type="page"/>
      </w:r>
    </w:p>
    <w:p w:rsidR="00E669EC" w14:paraId="5F2A6D72" w14:textId="15A51225"/>
    <w:p w:rsidR="00A91C92" w:rsidP="00A91C92" w14:paraId="7EDE638D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30A01966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6FE20B2B" w14:textId="349E1BDF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Withdrawal from an EQA is considered to be “late” when it is occurs once an EQA is open</w:t>
      </w:r>
    </w:p>
    <w:p w:rsidR="00A91C92" w:rsidP="00A91C92" w14:paraId="4DD350C1" w14:textId="2C614DF4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for participation.</w:t>
      </w:r>
    </w:p>
    <w:p w:rsidR="00A91C92" w:rsidP="00A91C92" w14:paraId="3B45447B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</w:p>
    <w:p w:rsidR="00A91C92" w:rsidP="00A91C92" w14:paraId="3ECDD7C0" w14:textId="36D6BFEA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The participant is required to complete a Withdrawal Request Form </w:t>
      </w:r>
      <w:hyperlink r:id="rId5" w:history="1">
        <w:r w:rsidRPr="00815364">
          <w:rPr>
            <w:rStyle w:val="Hyperlink"/>
            <w:rFonts w:ascii="Arial-BoldMT" w:hAnsi="Arial-BoldMT" w:cs="Arial-BoldMT"/>
            <w:b/>
            <w:bCs/>
            <w:sz w:val="23"/>
            <w:szCs w:val="23"/>
          </w:rPr>
          <w:t>[GenQA-F-126]</w:t>
        </w:r>
      </w:hyperlink>
      <w:r>
        <w:rPr>
          <w:rFonts w:ascii="Arial-BoldMT" w:hAnsi="Arial-BoldMT" w:cs="Arial-BoldMT"/>
          <w:b/>
          <w:bCs/>
          <w:color w:val="0000FF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sz w:val="23"/>
          <w:szCs w:val="23"/>
        </w:rPr>
        <w:t>–</w:t>
      </w:r>
    </w:p>
    <w:p w:rsidR="00A91C92" w:rsidP="00A91C92" w14:paraId="79DAC035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also available on the landing page - and return this to </w:t>
      </w:r>
      <w:r>
        <w:rPr>
          <w:rFonts w:ascii="Arial-BoldMT" w:hAnsi="Arial-BoldMT" w:cs="Arial-BoldMT"/>
          <w:b/>
          <w:bCs/>
          <w:color w:val="0000FF"/>
          <w:sz w:val="23"/>
          <w:szCs w:val="23"/>
        </w:rPr>
        <w:t>info@genqa.org</w:t>
      </w:r>
      <w:r>
        <w:rPr>
          <w:rFonts w:ascii="ArialMT" w:hAnsi="ArialMT" w:cs="ArialMT"/>
          <w:color w:val="000000"/>
          <w:sz w:val="23"/>
          <w:szCs w:val="23"/>
        </w:rPr>
        <w:t>.</w:t>
      </w:r>
    </w:p>
    <w:p w:rsidR="00A91C92" w:rsidP="00A91C92" w14:paraId="17D7A3F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69C8E4E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 laboratory may withdraw at a late stage from any EQA but generally there is no refund of</w:t>
      </w:r>
    </w:p>
    <w:p w:rsidR="00A91C92" w:rsidRPr="004072A2" w:rsidP="00A91C92" w14:paraId="053F48A2" w14:textId="3FFF1334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the EQA fee.</w:t>
      </w:r>
    </w:p>
    <w:p w:rsidR="00A91C92" w:rsidP="00A91C92" w14:paraId="356B17B5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487845A" w14:textId="55785AC6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Performance</w:t>
      </w:r>
    </w:p>
    <w:p w:rsidR="004072A2" w:rsidP="00A91C92" w14:paraId="40CBA56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0DED63F0" w14:textId="09186083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The reason for non-compliance will be registered under the specific EQA from which the</w:t>
      </w:r>
    </w:p>
    <w:p w:rsidR="00A91C92" w:rsidP="00A91C92" w14:paraId="671FAFBF" w14:textId="67B5DD8F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laboratory has withdrawn</w:t>
      </w:r>
      <w:r w:rsidR="00D55851">
        <w:rPr>
          <w:rFonts w:ascii="ArialMT" w:hAnsi="ArialMT" w:cs="ArialMT"/>
          <w:color w:val="000000"/>
          <w:sz w:val="23"/>
          <w:szCs w:val="23"/>
        </w:rPr>
        <w:t xml:space="preserve">. Late withdrawal from an EQA will not incur </w:t>
      </w:r>
      <w:r>
        <w:rPr>
          <w:rFonts w:ascii="ArialMT" w:hAnsi="ArialMT" w:cs="ArialMT"/>
          <w:color w:val="000000"/>
          <w:sz w:val="23"/>
          <w:szCs w:val="23"/>
        </w:rPr>
        <w:t>a Poor Performance</w:t>
      </w:r>
      <w:r w:rsidR="00D55851">
        <w:rPr>
          <w:rFonts w:ascii="ArialMT" w:hAnsi="ArialMT" w:cs="ArialMT"/>
          <w:color w:val="000000"/>
          <w:sz w:val="23"/>
          <w:szCs w:val="23"/>
        </w:rPr>
        <w:t xml:space="preserve"> designation</w:t>
      </w:r>
      <w:r>
        <w:rPr>
          <w:rFonts w:ascii="ArialMT" w:hAnsi="ArialMT" w:cs="ArialMT"/>
          <w:color w:val="000000"/>
          <w:sz w:val="23"/>
          <w:szCs w:val="23"/>
        </w:rPr>
        <w:t>.</w:t>
      </w:r>
    </w:p>
    <w:p w:rsidR="00A91C92" w:rsidP="00A91C92" w14:paraId="242CB0F3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1875BAC5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45A6301E" w14:textId="08FB1A4D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EQA Documentation</w:t>
      </w:r>
    </w:p>
    <w:p w:rsidR="004072A2" w:rsidP="00A91C92" w14:paraId="7EF0B938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A91C92" w:rsidP="00A91C92" w14:paraId="73CF4FAD" w14:textId="58C80539">
      <w:pPr>
        <w:ind w:left="0"/>
      </w:pPr>
      <w:r>
        <w:rPr>
          <w:rFonts w:ascii="ArialMT" w:hAnsi="ArialMT" w:cs="ArialMT"/>
          <w:color w:val="000000"/>
          <w:sz w:val="23"/>
          <w:szCs w:val="23"/>
        </w:rPr>
        <w:t>The Individual Laboratory Report (ILR) will state ‘Withdrawn’.</w:t>
      </w:r>
    </w:p>
    <w:p w:rsidR="00A91C92" w:rsidP="00A91C92" w14:paraId="7DBF7AFA" w14:textId="77777777">
      <w:pPr>
        <w:autoSpaceDE w:val="0"/>
        <w:autoSpaceDN w:val="0"/>
        <w:adjustRightInd w:val="0"/>
        <w:ind w:left="0"/>
        <w:rPr>
          <w:rFonts w:ascii="ArialMT" w:hAnsi="ArialMT" w:cs="ArialMT"/>
          <w:sz w:val="23"/>
          <w:szCs w:val="23"/>
        </w:rPr>
      </w:pPr>
    </w:p>
    <w:p w:rsidR="00A91C92" w:rsidP="00A91C92" w14:paraId="6B80C95E" w14:textId="618D1DDC">
      <w:pPr>
        <w:autoSpaceDE w:val="0"/>
        <w:autoSpaceDN w:val="0"/>
        <w:adjustRightInd w:val="0"/>
        <w:ind w:left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The laboratory will still have access to all relevant documentation for this EQA including</w:t>
      </w:r>
    </w:p>
    <w:p w:rsidR="00A91C92" w:rsidP="00A91C92" w14:paraId="3D464230" w14:textId="05D6F875">
      <w:pPr>
        <w:ind w:left="0"/>
      </w:pPr>
      <w:r>
        <w:rPr>
          <w:rFonts w:ascii="ArialMT" w:hAnsi="ArialMT" w:cs="ArialMT"/>
          <w:sz w:val="23"/>
          <w:szCs w:val="23"/>
        </w:rPr>
        <w:t xml:space="preserve">the EQA Summary </w:t>
      </w:r>
      <w:r w:rsidR="001B4AAE">
        <w:rPr>
          <w:rFonts w:ascii="ArialMT" w:hAnsi="ArialMT" w:cs="ArialMT"/>
          <w:sz w:val="23"/>
          <w:szCs w:val="23"/>
        </w:rPr>
        <w:t>R</w:t>
      </w:r>
      <w:r>
        <w:rPr>
          <w:rFonts w:ascii="ArialMT" w:hAnsi="ArialMT" w:cs="ArialMT"/>
          <w:sz w:val="23"/>
          <w:szCs w:val="23"/>
        </w:rPr>
        <w:t>eport.</w:t>
      </w:r>
    </w:p>
    <w:p w:rsidR="009C0243" w:rsidP="009C0243" w14:paraId="51FB089E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9C0243" w:rsidP="009C0243" w14:paraId="5D646244" w14:textId="754E2554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Refunds</w:t>
      </w:r>
    </w:p>
    <w:p w:rsidR="009C0243" w:rsidP="009C0243" w14:paraId="58A20086" w14:textId="77777777">
      <w:pPr>
        <w:autoSpaceDE w:val="0"/>
        <w:autoSpaceDN w:val="0"/>
        <w:adjustRightInd w:val="0"/>
        <w:ind w:left="0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9C0243" w:rsidP="009C0243" w14:paraId="3095D10B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 refund of the EQA fee is only paid under the following circumstances:</w:t>
      </w:r>
    </w:p>
    <w:p w:rsidR="009C0243" w:rsidP="009C0243" w14:paraId="7E816111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1.</w:t>
      </w:r>
      <w:r>
        <w:rPr>
          <w:rFonts w:ascii="ArialMT" w:hAnsi="ArialMT" w:cs="ArialMT"/>
          <w:color w:val="000000"/>
          <w:sz w:val="23"/>
          <w:szCs w:val="23"/>
        </w:rPr>
        <w:tab/>
        <w:t>Events beyond the laboratory’s control (e.g. damage to laboratory)</w:t>
      </w:r>
    </w:p>
    <w:p w:rsidR="009C0243" w:rsidP="009C0243" w14:paraId="4475D3B8" w14:textId="77777777">
      <w:pPr>
        <w:autoSpaceDE w:val="0"/>
        <w:autoSpaceDN w:val="0"/>
        <w:adjustRightInd w:val="0"/>
        <w:ind w:left="0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2.</w:t>
      </w:r>
      <w:r>
        <w:rPr>
          <w:rFonts w:ascii="ArialMT" w:hAnsi="ArialMT" w:cs="ArialMT"/>
          <w:color w:val="000000"/>
          <w:sz w:val="23"/>
          <w:szCs w:val="23"/>
        </w:rPr>
        <w:tab/>
        <w:t xml:space="preserve">In exceptional circumstances on a </w:t>
      </w:r>
      <w:r>
        <w:rPr>
          <w:rFonts w:ascii="ArialMT" w:hAnsi="ArialMT" w:cs="ArialMT"/>
          <w:color w:val="000000"/>
          <w:sz w:val="23"/>
          <w:szCs w:val="23"/>
        </w:rPr>
        <w:t>case by case</w:t>
      </w:r>
      <w:r>
        <w:rPr>
          <w:rFonts w:ascii="ArialMT" w:hAnsi="ArialMT" w:cs="ArialMT"/>
          <w:color w:val="000000"/>
          <w:sz w:val="23"/>
          <w:szCs w:val="23"/>
        </w:rPr>
        <w:t xml:space="preserve"> basis.</w:t>
      </w:r>
    </w:p>
    <w:p w:rsidR="00543FFD" w:rsidRPr="00E669EC" w:rsidP="005764DC" w14:paraId="3FB7869C" w14:textId="414D33B0">
      <w:pPr>
        <w:pStyle w:val="TOCHeading"/>
        <w:ind w:left="0"/>
      </w:pPr>
      <w:r>
        <w:t>Please note: Any laboratory granted a refund will not have access to any EQA documentation including the summary report for that EQA year.</w:t>
      </w:r>
    </w:p>
    <w:sectPr w:rsidSect="00420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552" w:right="1134" w:bottom="1440" w:left="1134" w:header="28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14:paraId="36C978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0986244"/>
      <w:docPartObj>
        <w:docPartGallery w:val="Page Numbers (Top of Page)"/>
        <w:docPartUnique/>
      </w:docPartObj>
    </w:sdtPr>
    <w:sdtContent>
      <w:p w:rsidR="00543FFD" w:rsidP="00EF30C8" w14:paraId="485E2F6C" w14:textId="77777777">
        <w:pPr>
          <w:pStyle w:val="Footer"/>
          <w:jc w:val="right"/>
        </w:pPr>
        <w:r w:rsidRPr="00855BA1">
          <w:rPr>
            <w:rFonts w:cs="Arial"/>
            <w:color w:val="151F6D"/>
            <w:sz w:val="20"/>
            <w:szCs w:val="20"/>
          </w:rPr>
          <w:t xml:space="preserve">Page 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begin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instrText xml:space="preserve"> PAGE </w:instrTex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separate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t>2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end"/>
        </w:r>
        <w:r w:rsidRPr="00855BA1">
          <w:rPr>
            <w:rFonts w:cs="Arial"/>
            <w:color w:val="151F6D"/>
            <w:sz w:val="20"/>
            <w:szCs w:val="20"/>
          </w:rPr>
          <w:t xml:space="preserve"> of 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begin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instrText xml:space="preserve"> NUMPAGES  </w:instrTex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separate"/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t>2</w:t>
        </w:r>
        <w:r w:rsidRPr="00855BA1">
          <w:rPr>
            <w:rFonts w:cs="Arial"/>
            <w:b/>
            <w:bCs/>
            <w:color w:val="151F6D"/>
            <w:sz w:val="20"/>
            <w:szCs w:val="20"/>
          </w:rPr>
          <w:fldChar w:fldCharType="end"/>
        </w:r>
      </w:p>
    </w:sdtContent>
  </w:sdt>
  <w:p w:rsidR="00543FFD" w14:paraId="604E12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36455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43FFD" w14:paraId="11193FA6" w14:textId="77777777">
            <w:pPr>
              <w:pStyle w:val="Footer"/>
              <w:jc w:val="right"/>
            </w:pPr>
            <w:r w:rsidRPr="00855BA1">
              <w:rPr>
                <w:rFonts w:cs="Arial"/>
                <w:color w:val="151F6D"/>
                <w:sz w:val="20"/>
                <w:szCs w:val="20"/>
              </w:rPr>
              <w:t xml:space="preserve">Page 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begin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instrText xml:space="preserve"> PAGE </w:instrTex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separate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t>1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end"/>
            </w:r>
            <w:r w:rsidRPr="00855BA1">
              <w:rPr>
                <w:rFonts w:cs="Arial"/>
                <w:color w:val="151F6D"/>
                <w:sz w:val="20"/>
                <w:szCs w:val="20"/>
              </w:rPr>
              <w:t xml:space="preserve"> of 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begin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instrText xml:space="preserve"> NUMPAGES  </w:instrTex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separate"/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t>2</w:t>
            </w:r>
            <w:r w:rsidRPr="00855BA1">
              <w:rPr>
                <w:rFonts w:cs="Arial"/>
                <w:b/>
                <w:bCs/>
                <w:color w:val="151F6D"/>
                <w:sz w:val="20"/>
                <w:szCs w:val="20"/>
              </w:rPr>
              <w:fldChar w:fldCharType="end"/>
            </w:r>
          </w:p>
        </w:sdtContent>
      </w:sdt>
    </w:sdtContent>
  </w:sdt>
  <w:p w:rsidR="00543FFD" w14:paraId="10AB7A8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14:paraId="70D1A9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:rsidP="00401F63" w14:paraId="7B0F2292" w14:textId="77777777">
    <w:pPr>
      <w:pStyle w:val="Header"/>
      <w:tabs>
        <w:tab w:val="clear" w:pos="4513"/>
        <w:tab w:val="left" w:pos="7485"/>
        <w:tab w:val="clear" w:pos="9026"/>
      </w:tabs>
      <w:ind w:left="540"/>
      <w:rPr>
        <w:rFonts w:cs="Arial"/>
        <w:color w:val="151F6D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-133350</wp:posOffset>
          </wp:positionV>
          <wp:extent cx="7563600" cy="106920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QA_Letterhead_ARTWORK_v6_SO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rFonts w:cs="Arial"/>
        <w:color w:val="151F6D"/>
        <w:sz w:val="20"/>
        <w:szCs w:val="20"/>
      </w:rPr>
      <w:tab/>
    </w:r>
  </w:p>
  <w:p w:rsidR="00543FFD" w:rsidP="00855BA1" w14:paraId="0EAE3F11" w14:textId="77777777">
    <w:pPr>
      <w:pStyle w:val="Header"/>
      <w:ind w:left="540"/>
      <w:rPr>
        <w:rFonts w:cs="Arial"/>
        <w:color w:val="151F6D"/>
        <w:sz w:val="20"/>
        <w:szCs w:val="20"/>
      </w:rPr>
    </w:pPr>
  </w:p>
  <w:p w:rsidR="00543FFD" w:rsidRPr="00671461" w:rsidP="00855BA1" w14:paraId="4DB624C0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543FFD" w:rsidRPr="00401F63" w:rsidP="00855BA1" w14:paraId="5FACAEB8" w14:textId="248CBD6F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Document Number:</w:t>
    </w:r>
    <w:r w:rsidRPr="00401F63">
      <w:rPr>
        <w:rFonts w:cs="Arial"/>
        <w:color w:val="151F6D"/>
        <w:sz w:val="20"/>
        <w:szCs w:val="20"/>
      </w:rPr>
      <w:tab/>
    </w:r>
    <w:r>
      <w:rPr>
        <w:rFonts w:cs="Arial"/>
        <w:b/>
        <w:bCs/>
        <w:color w:val="151F6D"/>
        <w:sz w:val="20"/>
        <w:szCs w:val="20"/>
      </w:rPr>
      <w:t>GenQA-</w:t>
    </w:r>
    <w:r w:rsidR="005726BA">
      <w:rPr>
        <w:rFonts w:cs="Arial"/>
        <w:b/>
        <w:bCs/>
        <w:color w:val="151F6D"/>
        <w:sz w:val="20"/>
        <w:szCs w:val="20"/>
      </w:rPr>
      <w:t>S-95</w:t>
    </w:r>
  </w:p>
  <w:p w:rsidR="00543FFD" w:rsidRPr="00401F63" w:rsidP="00855BA1" w14:paraId="7EB7A1EE" w14:textId="17A8C31B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Version Number: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5</w:t>
    </w:r>
  </w:p>
  <w:p w:rsidR="00543FFD" w:rsidRPr="00401F63" w:rsidP="00855BA1" w14:paraId="65CC268A" w14:textId="0720CF63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Issue Date: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31/05/2024</w:t>
    </w:r>
  </w:p>
  <w:p w:rsidR="00543FFD" w:rsidRPr="00401F63" w:rsidP="00855BA1" w14:paraId="63EF585E" w14:textId="0EF351FA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671461">
      <w:rPr>
        <w:rFonts w:cs="Arial"/>
        <w:b/>
        <w:bCs/>
        <w:color w:val="151F6D"/>
        <w:sz w:val="20"/>
        <w:szCs w:val="20"/>
      </w:rPr>
      <w:t>Author:</w:t>
    </w:r>
    <w:r w:rsidRPr="00401F63">
      <w:rPr>
        <w:rFonts w:cs="Arial"/>
        <w:color w:val="151F6D"/>
        <w:sz w:val="20"/>
        <w:szCs w:val="20"/>
      </w:rPr>
      <w:tab/>
    </w:r>
    <w:r w:rsidR="005726BA">
      <w:rPr>
        <w:rFonts w:cs="Arial"/>
        <w:color w:val="151F6D"/>
        <w:sz w:val="20"/>
        <w:szCs w:val="20"/>
      </w:rPr>
      <w:t>Bettina Quellhorst</w:t>
    </w:r>
  </w:p>
  <w:p w:rsidR="00543FFD" w14:paraId="701DFE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FFD" w:rsidP="00295649" w14:paraId="16ADEA76" w14:textId="77777777">
    <w:pPr>
      <w:pStyle w:val="Header"/>
      <w:rPr>
        <w:rFonts w:cs="Arial"/>
        <w:sz w:val="18"/>
        <w:szCs w:val="18"/>
      </w:rPr>
    </w:pPr>
    <w:r w:rsidRPr="00855BA1">
      <w:rPr>
        <w:rFonts w:cs="Arial"/>
        <w:noProof/>
        <w:color w:val="151F6D"/>
        <w:szCs w:val="2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-355600</wp:posOffset>
          </wp:positionV>
          <wp:extent cx="7563243" cy="11001375"/>
          <wp:effectExtent l="0" t="0" r="0" b="0"/>
          <wp:wrapNone/>
          <wp:docPr id="1055715383" name="Picture 2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76812" name="GenQA_Letterhead_ARTWORK_v6_logo_Bkg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3" cy="1100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FFD" w:rsidRPr="00401F63" w:rsidP="00855BA1" w14:paraId="290876A1" w14:textId="5185998E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Document Number</w:t>
    </w:r>
    <w:r w:rsidRPr="00401F63">
      <w:rPr>
        <w:rFonts w:cs="Arial"/>
        <w:color w:val="151F6D"/>
        <w:sz w:val="20"/>
        <w:szCs w:val="20"/>
      </w:rPr>
      <w:t>:</w:t>
    </w:r>
    <w:r w:rsidRPr="00401F63">
      <w:rPr>
        <w:rFonts w:cs="Arial"/>
        <w:color w:val="151F6D"/>
        <w:sz w:val="20"/>
        <w:szCs w:val="20"/>
      </w:rPr>
      <w:tab/>
    </w:r>
    <w:r>
      <w:rPr>
        <w:rFonts w:cs="Arial"/>
        <w:b/>
        <w:bCs/>
        <w:color w:val="151F6D"/>
        <w:sz w:val="20"/>
        <w:szCs w:val="20"/>
      </w:rPr>
      <w:t>GenQA-</w:t>
    </w:r>
    <w:r w:rsidR="00EE2887">
      <w:rPr>
        <w:rFonts w:cs="Arial"/>
        <w:b/>
        <w:bCs/>
        <w:color w:val="151F6D"/>
        <w:sz w:val="20"/>
        <w:szCs w:val="20"/>
      </w:rPr>
      <w:t>S-95</w:t>
    </w:r>
  </w:p>
  <w:p w:rsidR="00543FFD" w:rsidRPr="00401F63" w:rsidP="00855BA1" w14:paraId="44BBB616" w14:textId="060567B0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Version Number: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5</w:t>
    </w:r>
  </w:p>
  <w:p w:rsidR="00543FFD" w:rsidRPr="00401F63" w:rsidP="00855BA1" w14:paraId="70453B49" w14:textId="541FBD4E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Issue Date:</w:t>
    </w:r>
    <w:r>
      <w:rPr>
        <w:rFonts w:cs="Arial"/>
        <w:color w:val="151F6D"/>
        <w:sz w:val="20"/>
        <w:szCs w:val="20"/>
      </w:rPr>
      <w:tab/>
    </w:r>
    <w:r w:rsidR="004072A2">
      <w:rPr>
        <w:rFonts w:cs="Arial"/>
        <w:color w:val="151F6D"/>
        <w:sz w:val="20"/>
        <w:szCs w:val="20"/>
      </w:rPr>
      <w:t>31/05/2024</w:t>
    </w:r>
  </w:p>
  <w:p w:rsidR="00543FFD" w:rsidRPr="00401F63" w:rsidP="00855BA1" w14:paraId="2B0062CC" w14:textId="67505861">
    <w:pPr>
      <w:pStyle w:val="Header"/>
      <w:tabs>
        <w:tab w:val="left" w:pos="2880"/>
      </w:tabs>
      <w:ind w:left="540"/>
      <w:rPr>
        <w:rFonts w:cs="Arial"/>
        <w:color w:val="151F6D"/>
        <w:sz w:val="20"/>
        <w:szCs w:val="20"/>
      </w:rPr>
    </w:pPr>
    <w:r w:rsidRPr="001A2AFA">
      <w:rPr>
        <w:rFonts w:cs="Arial"/>
        <w:b/>
        <w:bCs/>
        <w:color w:val="151F6D"/>
        <w:sz w:val="20"/>
        <w:szCs w:val="20"/>
      </w:rPr>
      <w:t>Author:</w:t>
    </w:r>
    <w:r w:rsidRPr="00401F63">
      <w:rPr>
        <w:rFonts w:cs="Arial"/>
        <w:color w:val="151F6D"/>
        <w:sz w:val="20"/>
        <w:szCs w:val="20"/>
      </w:rPr>
      <w:tab/>
    </w:r>
    <w:r w:rsidR="00EE2887">
      <w:rPr>
        <w:rFonts w:cs="Arial"/>
        <w:color w:val="151F6D"/>
        <w:sz w:val="20"/>
        <w:szCs w:val="20"/>
      </w:rPr>
      <w:t>Bettina Quellhorst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E694D"/>
    <w:multiLevelType w:val="multilevel"/>
    <w:tmpl w:val="ECF05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3C42A0"/>
    <w:multiLevelType w:val="multilevel"/>
    <w:tmpl w:val="2906181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">
    <w:nsid w:val="1BA967F0"/>
    <w:multiLevelType w:val="multilevel"/>
    <w:tmpl w:val="60729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1067DB"/>
    <w:multiLevelType w:val="multilevel"/>
    <w:tmpl w:val="3A12289A"/>
    <w:lvl w:ilvl="0">
      <w:start w:val="1"/>
      <w:numFmt w:val="bullet"/>
      <w:pStyle w:val="NEQAS1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pStyle w:val="NEQAS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3476CD"/>
    <w:multiLevelType w:val="multilevel"/>
    <w:tmpl w:val="E65294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938CE"/>
    <w:multiLevelType w:val="multilevel"/>
    <w:tmpl w:val="DAFECB0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77" w:hanging="435"/>
      </w:pPr>
    </w:lvl>
    <w:lvl w:ilvl="2">
      <w:start w:val="1"/>
      <w:numFmt w:val="decimal"/>
      <w:lvlText w:val="%1.%2.%3"/>
      <w:lvlJc w:val="left"/>
      <w:pPr>
        <w:ind w:left="804" w:hanging="720"/>
      </w:pPr>
    </w:lvl>
    <w:lvl w:ilvl="3">
      <w:start w:val="1"/>
      <w:numFmt w:val="decimal"/>
      <w:lvlText w:val="%1.%2.%3.%4"/>
      <w:lvlJc w:val="left"/>
      <w:pPr>
        <w:ind w:left="846" w:hanging="720"/>
      </w:pPr>
    </w:lvl>
    <w:lvl w:ilvl="4">
      <w:start w:val="1"/>
      <w:numFmt w:val="decimal"/>
      <w:lvlText w:val="%1.%2.%3.%4.%5"/>
      <w:lvlJc w:val="left"/>
      <w:pPr>
        <w:ind w:left="1248" w:hanging="1080"/>
      </w:pPr>
    </w:lvl>
    <w:lvl w:ilvl="5">
      <w:start w:val="1"/>
      <w:numFmt w:val="decimal"/>
      <w:lvlText w:val="%1.%2.%3.%4.%5.%6"/>
      <w:lvlJc w:val="left"/>
      <w:pPr>
        <w:ind w:left="1290" w:hanging="1080"/>
      </w:pPr>
    </w:lvl>
    <w:lvl w:ilvl="6">
      <w:start w:val="1"/>
      <w:numFmt w:val="decimal"/>
      <w:lvlText w:val="%1.%2.%3.%4.%5.%6.%7"/>
      <w:lvlJc w:val="left"/>
      <w:pPr>
        <w:ind w:left="1692" w:hanging="1440"/>
      </w:pPr>
    </w:lvl>
    <w:lvl w:ilvl="7">
      <w:start w:val="1"/>
      <w:numFmt w:val="decimal"/>
      <w:lvlText w:val="%1.%2.%3.%4.%5.%6.%7.%8"/>
      <w:lvlJc w:val="left"/>
      <w:pPr>
        <w:ind w:left="1734" w:hanging="1440"/>
      </w:pPr>
    </w:lvl>
    <w:lvl w:ilvl="8">
      <w:start w:val="1"/>
      <w:numFmt w:val="decimal"/>
      <w:lvlText w:val="%1.%2.%3.%4.%5.%6.%7.%8.%9"/>
      <w:lvlJc w:val="left"/>
      <w:pPr>
        <w:ind w:left="1776" w:hanging="1440"/>
      </w:pPr>
    </w:lvl>
  </w:abstractNum>
  <w:abstractNum w:abstractNumId="6">
    <w:nsid w:val="713C62C1"/>
    <w:multiLevelType w:val="multilevel"/>
    <w:tmpl w:val="A86471EE"/>
    <w:lvl w:ilvl="0">
      <w:start w:val="1"/>
      <w:numFmt w:val="lowerLetter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A7407"/>
    <w:multiLevelType w:val="multilevel"/>
    <w:tmpl w:val="11DED05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lvlText w:val="%1.%2"/>
      <w:lvlJc w:val="left"/>
      <w:pPr>
        <w:ind w:left="853" w:hanging="456"/>
      </w:pPr>
    </w:lvl>
    <w:lvl w:ilvl="2">
      <w:start w:val="1"/>
      <w:numFmt w:val="decimal"/>
      <w:lvlText w:val="%1.%2.%3"/>
      <w:lvlJc w:val="left"/>
      <w:pPr>
        <w:ind w:left="1117" w:hanging="720"/>
      </w:pPr>
    </w:lvl>
    <w:lvl w:ilvl="3">
      <w:start w:val="1"/>
      <w:numFmt w:val="decimal"/>
      <w:lvlText w:val="%1.%2.%3.%4"/>
      <w:lvlJc w:val="left"/>
      <w:pPr>
        <w:ind w:left="1117" w:hanging="720"/>
      </w:pPr>
    </w:lvl>
    <w:lvl w:ilvl="4">
      <w:start w:val="1"/>
      <w:numFmt w:val="decimal"/>
      <w:lvlText w:val="%1.%2.%3.%4.%5"/>
      <w:lvlJc w:val="left"/>
      <w:pPr>
        <w:ind w:left="1477" w:hanging="1080"/>
      </w:pPr>
    </w:lvl>
    <w:lvl w:ilvl="5">
      <w:start w:val="1"/>
      <w:numFmt w:val="decimal"/>
      <w:lvlText w:val="%1.%2.%3.%4.%5.%6"/>
      <w:lvlJc w:val="left"/>
      <w:pPr>
        <w:ind w:left="1477" w:hanging="1080"/>
      </w:pPr>
    </w:lvl>
    <w:lvl w:ilvl="6">
      <w:start w:val="1"/>
      <w:numFmt w:val="decimal"/>
      <w:lvlText w:val="%1.%2.%3.%4.%5.%6.%7"/>
      <w:lvlJc w:val="left"/>
      <w:pPr>
        <w:ind w:left="1837" w:hanging="1440"/>
      </w:pPr>
    </w:lvl>
    <w:lvl w:ilvl="7">
      <w:start w:val="1"/>
      <w:numFmt w:val="decimal"/>
      <w:lvlText w:val="%1.%2.%3.%4.%5.%6.%7.%8"/>
      <w:lvlJc w:val="left"/>
      <w:pPr>
        <w:ind w:left="1837" w:hanging="1440"/>
      </w:pPr>
    </w:lvl>
    <w:lvl w:ilvl="8">
      <w:start w:val="1"/>
      <w:numFmt w:val="decimal"/>
      <w:lvlText w:val="%1.%2.%3.%4.%5.%6.%7.%8.%9"/>
      <w:lvlJc w:val="left"/>
      <w:pPr>
        <w:ind w:left="2197" w:hanging="1800"/>
      </w:pPr>
    </w:lvl>
  </w:abstractNum>
  <w:abstractNum w:abstractNumId="8">
    <w:nsid w:val="78E71616"/>
    <w:multiLevelType w:val="multilevel"/>
    <w:tmpl w:val="13A27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05470F"/>
    <w:multiLevelType w:val="multilevel"/>
    <w:tmpl w:val="B1601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D"/>
    <w:rsid w:val="000711DA"/>
    <w:rsid w:val="000863F6"/>
    <w:rsid w:val="001A2AFA"/>
    <w:rsid w:val="001B4AAE"/>
    <w:rsid w:val="002778FA"/>
    <w:rsid w:val="00295649"/>
    <w:rsid w:val="00401F63"/>
    <w:rsid w:val="004072A2"/>
    <w:rsid w:val="00450B57"/>
    <w:rsid w:val="0046119A"/>
    <w:rsid w:val="00543FFD"/>
    <w:rsid w:val="005726BA"/>
    <w:rsid w:val="005764DC"/>
    <w:rsid w:val="00671461"/>
    <w:rsid w:val="006F3F02"/>
    <w:rsid w:val="007463A1"/>
    <w:rsid w:val="00763FD7"/>
    <w:rsid w:val="00767B75"/>
    <w:rsid w:val="007B57A3"/>
    <w:rsid w:val="00815364"/>
    <w:rsid w:val="00855BA1"/>
    <w:rsid w:val="00882255"/>
    <w:rsid w:val="008833D3"/>
    <w:rsid w:val="0094162D"/>
    <w:rsid w:val="009C0243"/>
    <w:rsid w:val="00A91C92"/>
    <w:rsid w:val="00D51231"/>
    <w:rsid w:val="00D55851"/>
    <w:rsid w:val="00E669EC"/>
    <w:rsid w:val="00EE2887"/>
    <w:rsid w:val="00EE42F5"/>
    <w:rsid w:val="00EF30C8"/>
    <w:rsid w:val="00FA47E6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b40aa6b3-a096-4054-874a-7bb27117e72f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7E707-5C79-42C4-9224-8BF453A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23"/>
    <w:pPr>
      <w:ind w:left="397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52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2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50CD"/>
  </w:style>
  <w:style w:type="paragraph" w:styleId="Footer">
    <w:name w:val="footer"/>
    <w:basedOn w:val="Normal"/>
    <w:link w:val="FooterChar"/>
    <w:uiPriority w:val="99"/>
    <w:unhideWhenUsed/>
    <w:rsid w:val="00015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0CD"/>
  </w:style>
  <w:style w:type="table" w:styleId="TableGrid">
    <w:name w:val="Table Grid"/>
    <w:basedOn w:val="TableNormal"/>
    <w:rsid w:val="00855BA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1523"/>
    <w:rPr>
      <w:rFonts w:ascii="Arial" w:hAnsi="Arial"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523"/>
    <w:rPr>
      <w:rFonts w:ascii="Arial" w:hAnsi="Arial" w:eastAsiaTheme="majorEastAsia" w:cstheme="majorBidi"/>
      <w:b/>
      <w:color w:val="000000" w:themeColor="text1"/>
      <w:sz w:val="22"/>
      <w:szCs w:val="26"/>
    </w:rPr>
  </w:style>
  <w:style w:type="paragraph" w:styleId="TOC1">
    <w:name w:val="toc 1"/>
    <w:basedOn w:val="Normal"/>
    <w:next w:val="Normal"/>
    <w:autoRedefine/>
    <w:uiPriority w:val="39"/>
    <w:rsid w:val="00E724BD"/>
    <w:pPr>
      <w:tabs>
        <w:tab w:val="right" w:leader="dot" w:pos="9622"/>
      </w:tabs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rsid w:val="00D51231"/>
    <w:pPr>
      <w:ind w:left="720"/>
    </w:pPr>
    <w:rPr>
      <w:rFonts w:eastAsia="Times New Roman" w:cs="Times New Roman"/>
    </w:rPr>
  </w:style>
  <w:style w:type="paragraph" w:styleId="TOCHeading">
    <w:name w:val="TOC Heading"/>
    <w:basedOn w:val="Heading1"/>
    <w:uiPriority w:val="39"/>
    <w:qFormat/>
    <w:rsid w:val="00440A59"/>
    <w:pPr>
      <w:keepLines w:val="0"/>
      <w:spacing w:after="60"/>
    </w:pPr>
    <w:rPr>
      <w:rFonts w:eastAsia="Times New Roman" w:cs="Arial"/>
      <w:bCs/>
      <w:color w:val="auto"/>
      <w:kern w:val="32"/>
      <w:u w:val="single"/>
    </w:rPr>
  </w:style>
  <w:style w:type="character" w:styleId="Hyperlink">
    <w:name w:val="Hyperlink"/>
    <w:uiPriority w:val="99"/>
    <w:rsid w:val="00440A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51231"/>
    <w:rPr>
      <w:rFonts w:ascii="Arial" w:hAnsi="Arial" w:eastAsiaTheme="majorEastAsia" w:cstheme="majorBidi"/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D51231"/>
    <w:pPr>
      <w:ind w:left="851"/>
    </w:pPr>
  </w:style>
  <w:style w:type="paragraph" w:customStyle="1" w:styleId="NEQAS1">
    <w:name w:val="NEQAS1"/>
    <w:basedOn w:val="Heading1"/>
    <w:qFormat/>
    <w:rsid w:val="00E669EC"/>
    <w:pPr>
      <w:keepLines w:val="0"/>
      <w:numPr>
        <w:numId w:val="1"/>
      </w:numPr>
      <w:spacing w:before="0"/>
    </w:pPr>
    <w:rPr>
      <w:rFonts w:eastAsia="Times New Roman" w:cs="Times New Roman"/>
      <w:bCs/>
      <w:color w:val="auto"/>
      <w:sz w:val="28"/>
      <w:szCs w:val="28"/>
      <w:lang w:val="x-none" w:eastAsia="x-none"/>
    </w:rPr>
  </w:style>
  <w:style w:type="paragraph" w:customStyle="1" w:styleId="NEQAS2">
    <w:name w:val="NEQAS2"/>
    <w:basedOn w:val="Normal"/>
    <w:qFormat/>
    <w:rsid w:val="00E669EC"/>
    <w:pPr>
      <w:numPr>
        <w:ilvl w:val="1"/>
        <w:numId w:val="1"/>
      </w:numPr>
      <w:jc w:val="both"/>
    </w:pPr>
    <w:rPr>
      <w:rFonts w:eastAsia="Times New Roman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669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815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3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3FD7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4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14969.gael-config.net/QPulseDocumentService/Documents.svc/documents/Active/attachment?number=GenQA-F-126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445C-9B90-48F7-852B-EEDCD147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Smalls</dc:creator>
  <cp:lastModifiedBy>Wendy Hannant</cp:lastModifiedBy>
  <cp:revision>2</cp:revision>
  <dcterms:created xsi:type="dcterms:W3CDTF">2024-05-27T18:35:00Z</dcterms:created>
  <dcterms:modified xsi:type="dcterms:W3CDTF">2024-05-27T18:35:00Z</dcterms:modified>
</cp:coreProperties>
</file>